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color w:val="999999"/>
          <w:sz w:val="20"/>
          <w:szCs w:val="20"/>
        </w:rPr>
        <w:t xml:space="preserve">[COMPANY NAME]</w:t>
      </w:r>
    </w:p>
    <w:p>
      <w:pPr>
        <w:spacing w:after="40"/>
      </w:pPr>
      <w:r>
        <w:rPr>
          <w:rFonts w:ascii="Arial" w:cs="Arial" w:eastAsia="Arial" w:hAnsi="Arial"/>
          <w:b/>
          <w:bCs/>
          <w:color w:val="1B7AB8"/>
          <w:sz w:val="40"/>
          <w:szCs w:val="40"/>
        </w:rPr>
        <w:t xml:space="preserve">Quality Policy</w:t>
      </w:r>
    </w:p>
    <w:p>
      <w:pPr>
        <w:spacing w:after="120"/>
      </w:pPr>
      <w:r>
        <w:rPr>
          <w:i/>
          <w:iCs/>
          <w:color w:val="666666"/>
          <w:sz w:val="19"/>
          <w:szCs w:val="19"/>
        </w:rPr>
        <w:t xml:space="preserve">Document ref: QP1     |     ISO 9001:2015 — Clause 5.2</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1600"/>
        <w:gridCol w:w="1300"/>
        <w:gridCol w:w="1626"/>
        <w:gridCol w:w="1400"/>
        <w:gridCol w:w="1800"/>
      </w:tblGrid>
      <w:tr>
        <w:trPr>
          <w:tblHeader/>
        </w:trPr>
        <w:tc>
          <w:tcPr>
            <w:tcW w:type="dxa" w:w="1300"/>
            <w:tcBorders>
              <w:top w:val="single" w:color="BBBBBB" w:sz="1"/>
              <w:left w:val="single" w:color="BBBBBB" w:sz="1"/>
              <w:bottom w:val="single" w:color="BBBBBB" w:sz="1"/>
              <w:right w:val="single" w:color="BBBBBB" w:sz="1"/>
            </w:tcBorders>
            <w:shd w:fill="D5E8F5" w:val="clear"/>
            <w:tcMar>
              <w:top w:type="dxa" w:w="60"/>
              <w:left w:type="dxa" w:w="110"/>
              <w:bottom w:type="dxa" w:w="60"/>
              <w:right w:type="dxa" w:w="110"/>
            </w:tcMar>
          </w:tcPr>
          <w:p>
            <w:r>
              <w:rPr>
                <w:b/>
                <w:bCs/>
              </w:rPr>
              <w:t xml:space="preserve">Version</w:t>
            </w:r>
          </w:p>
        </w:tc>
        <w:tc>
          <w:tcPr>
            <w:tcW w:type="dxa" w:w="1600"/>
            <w:tcBorders>
              <w:top w:val="single" w:color="BBBBBB" w:sz="1"/>
              <w:left w:val="single" w:color="BBBBBB" w:sz="1"/>
              <w:bottom w:val="single" w:color="BBBBBB" w:sz="1"/>
              <w:right w:val="single" w:color="BBBBBB" w:sz="1"/>
            </w:tcBorders>
            <w:shd w:fill="D5E8F5" w:val="clear"/>
            <w:tcMar>
              <w:top w:type="dxa" w:w="60"/>
              <w:left w:type="dxa" w:w="110"/>
              <w:bottom w:type="dxa" w:w="60"/>
              <w:right w:type="dxa" w:w="110"/>
            </w:tcMar>
          </w:tcPr>
          <w:p>
            <w:r>
              <w:rPr>
                <w:b/>
                <w:bCs/>
              </w:rPr>
              <w:t xml:space="preserve">Approved By</w:t>
            </w:r>
          </w:p>
        </w:tc>
        <w:tc>
          <w:tcPr>
            <w:tcW w:type="dxa" w:w="1300"/>
            <w:tcBorders>
              <w:top w:val="single" w:color="BBBBBB" w:sz="1"/>
              <w:left w:val="single" w:color="BBBBBB" w:sz="1"/>
              <w:bottom w:val="single" w:color="BBBBBB" w:sz="1"/>
              <w:right w:val="single" w:color="BBBBBB" w:sz="1"/>
            </w:tcBorders>
            <w:shd w:fill="D5E8F5" w:val="clear"/>
            <w:tcMar>
              <w:top w:type="dxa" w:w="60"/>
              <w:left w:type="dxa" w:w="110"/>
              <w:bottom w:type="dxa" w:w="60"/>
              <w:right w:type="dxa" w:w="110"/>
            </w:tcMar>
          </w:tcPr>
          <w:p>
            <w:r>
              <w:rPr>
                <w:b/>
                <w:bCs/>
              </w:rPr>
              <w:t xml:space="preserve">Owner</w:t>
            </w:r>
          </w:p>
        </w:tc>
        <w:tc>
          <w:tcPr>
            <w:tcW w:type="dxa" w:w="1626"/>
            <w:tcBorders>
              <w:top w:val="single" w:color="BBBBBB" w:sz="1"/>
              <w:left w:val="single" w:color="BBBBBB" w:sz="1"/>
              <w:bottom w:val="single" w:color="BBBBBB" w:sz="1"/>
              <w:right w:val="single" w:color="BBBBBB" w:sz="1"/>
            </w:tcBorders>
            <w:shd w:fill="D5E8F5" w:val="clear"/>
            <w:tcMar>
              <w:top w:type="dxa" w:w="60"/>
              <w:left w:type="dxa" w:w="110"/>
              <w:bottom w:type="dxa" w:w="60"/>
              <w:right w:type="dxa" w:w="110"/>
            </w:tcMar>
          </w:tcPr>
          <w:p>
            <w:r>
              <w:rPr>
                <w:b/>
                <w:bCs/>
              </w:rPr>
              <w:t xml:space="preserve">Date Last Updated</w:t>
            </w:r>
          </w:p>
        </w:tc>
        <w:tc>
          <w:tcPr>
            <w:tcW w:type="dxa" w:w="1400"/>
            <w:tcBorders>
              <w:top w:val="single" w:color="BBBBBB" w:sz="1"/>
              <w:left w:val="single" w:color="BBBBBB" w:sz="1"/>
              <w:bottom w:val="single" w:color="BBBBBB" w:sz="1"/>
              <w:right w:val="single" w:color="BBBBBB" w:sz="1"/>
            </w:tcBorders>
            <w:shd w:fill="D5E8F5" w:val="clear"/>
            <w:tcMar>
              <w:top w:type="dxa" w:w="60"/>
              <w:left w:type="dxa" w:w="110"/>
              <w:bottom w:type="dxa" w:w="60"/>
              <w:right w:type="dxa" w:w="110"/>
            </w:tcMar>
          </w:tcPr>
          <w:p>
            <w:r>
              <w:rPr>
                <w:b/>
                <w:bCs/>
              </w:rPr>
              <w:t xml:space="preserve">Review Frequency</w:t>
            </w:r>
          </w:p>
        </w:tc>
        <w:tc>
          <w:tcPr>
            <w:tcW w:type="dxa" w:w="1800"/>
            <w:tcBorders>
              <w:top w:val="single" w:color="BBBBBB" w:sz="1"/>
              <w:left w:val="single" w:color="BBBBBB" w:sz="1"/>
              <w:bottom w:val="single" w:color="BBBBBB" w:sz="1"/>
              <w:right w:val="single" w:color="BBBBBB" w:sz="1"/>
            </w:tcBorders>
            <w:shd w:fill="D5E8F5" w:val="clear"/>
            <w:tcMar>
              <w:top w:type="dxa" w:w="60"/>
              <w:left w:type="dxa" w:w="110"/>
              <w:bottom w:type="dxa" w:w="60"/>
              <w:right w:type="dxa" w:w="110"/>
            </w:tcMar>
          </w:tcPr>
          <w:p>
            <w:r>
              <w:rPr>
                <w:b/>
                <w:bCs/>
              </w:rPr>
              <w:t xml:space="preserve">Next Review</w:t>
            </w:r>
          </w:p>
        </w:tc>
      </w:tr>
      <w:tr>
        <w:tc>
          <w:tcPr>
            <w:tcW w:type="dxa" w:w="1300"/>
            <w:tcBorders>
              <w:top w:val="single" w:color="BBBBBB" w:sz="1"/>
              <w:left w:val="single" w:color="BBBBBB" w:sz="1"/>
              <w:bottom w:val="single" w:color="BBBBBB" w:sz="1"/>
              <w:right w:val="single" w:color="BBBBBB" w:sz="1"/>
            </w:tcBorders>
            <w:tcMar>
              <w:top w:type="dxa" w:w="60"/>
              <w:left w:type="dxa" w:w="110"/>
              <w:bottom w:type="dxa" w:w="60"/>
              <w:right w:type="dxa" w:w="110"/>
            </w:tcMar>
          </w:tcPr>
          <w:p>
            <w:r>
              <w:rPr>
                <w:i w:val="false"/>
                <w:iCs w:val="false"/>
              </w:rPr>
              <w:t xml:space="preserve">[1.0]</w:t>
            </w:r>
          </w:p>
        </w:tc>
        <w:tc>
          <w:tcPr>
            <w:tcW w:type="dxa" w:w="1600"/>
            <w:tcBorders>
              <w:top w:val="single" w:color="BBBBBB" w:sz="1"/>
              <w:left w:val="single" w:color="BBBBBB" w:sz="1"/>
              <w:bottom w:val="single" w:color="BBBBBB" w:sz="1"/>
              <w:right w:val="single" w:color="BBBBBB" w:sz="1"/>
            </w:tcBorders>
            <w:tcMar>
              <w:top w:type="dxa" w:w="60"/>
              <w:left w:type="dxa" w:w="110"/>
              <w:bottom w:type="dxa" w:w="60"/>
              <w:right w:type="dxa" w:w="110"/>
            </w:tcMar>
          </w:tcPr>
          <w:p>
            <w:r>
              <w:rPr>
                <w:i w:val="false"/>
                <w:iCs w:val="false"/>
              </w:rPr>
              <w:t xml:space="preserve">[NAME]</w:t>
            </w:r>
          </w:p>
        </w:tc>
        <w:tc>
          <w:tcPr>
            <w:tcW w:type="dxa" w:w="1300"/>
            <w:tcBorders>
              <w:top w:val="single" w:color="BBBBBB" w:sz="1"/>
              <w:left w:val="single" w:color="BBBBBB" w:sz="1"/>
              <w:bottom w:val="single" w:color="BBBBBB" w:sz="1"/>
              <w:right w:val="single" w:color="BBBBBB" w:sz="1"/>
            </w:tcBorders>
            <w:tcMar>
              <w:top w:type="dxa" w:w="60"/>
              <w:left w:type="dxa" w:w="110"/>
              <w:bottom w:type="dxa" w:w="60"/>
              <w:right w:type="dxa" w:w="110"/>
            </w:tcMar>
          </w:tcPr>
          <w:p>
            <w:r>
              <w:rPr>
                <w:i w:val="false"/>
                <w:iCs w:val="false"/>
              </w:rPr>
              <w:t xml:space="preserve">[NAME]</w:t>
            </w:r>
          </w:p>
        </w:tc>
        <w:tc>
          <w:tcPr>
            <w:tcW w:type="dxa" w:w="1626"/>
            <w:tcBorders>
              <w:top w:val="single" w:color="BBBBBB" w:sz="1"/>
              <w:left w:val="single" w:color="BBBBBB" w:sz="1"/>
              <w:bottom w:val="single" w:color="BBBBBB" w:sz="1"/>
              <w:right w:val="single" w:color="BBBBBB" w:sz="1"/>
            </w:tcBorders>
            <w:tcMar>
              <w:top w:type="dxa" w:w="60"/>
              <w:left w:type="dxa" w:w="110"/>
              <w:bottom w:type="dxa" w:w="60"/>
              <w:right w:type="dxa" w:w="110"/>
            </w:tcMar>
          </w:tcPr>
          <w:p>
            <w:r>
              <w:rPr>
                <w:i w:val="false"/>
                <w:iCs w:val="false"/>
              </w:rPr>
              <w:t xml:space="preserve">[DATE]</w:t>
            </w:r>
          </w:p>
        </w:tc>
        <w:tc>
          <w:tcPr>
            <w:tcW w:type="dxa" w:w="1400"/>
            <w:tcBorders>
              <w:top w:val="single" w:color="BBBBBB" w:sz="1"/>
              <w:left w:val="single" w:color="BBBBBB" w:sz="1"/>
              <w:bottom w:val="single" w:color="BBBBBB" w:sz="1"/>
              <w:right w:val="single" w:color="BBBBBB" w:sz="1"/>
            </w:tcBorders>
            <w:tcMar>
              <w:top w:type="dxa" w:w="60"/>
              <w:left w:type="dxa" w:w="110"/>
              <w:bottom w:type="dxa" w:w="60"/>
              <w:right w:type="dxa" w:w="110"/>
            </w:tcMar>
          </w:tcPr>
          <w:p>
            <w:r>
              <w:rPr>
                <w:i w:val="false"/>
                <w:iCs w:val="false"/>
              </w:rPr>
              <w:t xml:space="preserve">Annual</w:t>
            </w:r>
          </w:p>
        </w:tc>
        <w:tc>
          <w:tcPr>
            <w:tcW w:type="dxa" w:w="1800"/>
            <w:tcBorders>
              <w:top w:val="single" w:color="BBBBBB" w:sz="1"/>
              <w:left w:val="single" w:color="BBBBBB" w:sz="1"/>
              <w:bottom w:val="single" w:color="BBBBBB" w:sz="1"/>
              <w:right w:val="single" w:color="BBBBBB" w:sz="1"/>
            </w:tcBorders>
            <w:tcMar>
              <w:top w:type="dxa" w:w="60"/>
              <w:left w:type="dxa" w:w="110"/>
              <w:bottom w:type="dxa" w:w="60"/>
              <w:right w:type="dxa" w:w="110"/>
            </w:tcMar>
          </w:tcPr>
          <w:p>
            <w:r>
              <w:rPr>
                <w:i w:val="false"/>
                <w:iCs w:val="false"/>
              </w:rPr>
              <w:t xml:space="preserve">[DATE]</w:t>
            </w:r>
          </w:p>
        </w:tc>
      </w:tr>
    </w:tbl>
    <w:p>
      <w:pPr>
        <w:spacing w:after="40" w:before="120"/>
      </w:pPr>
      <w:r>
        <w:rPr>
          <w:b/>
          <w:bCs/>
        </w:rPr>
        <w:t xml:space="preserve">Classification: Internal</w:t>
      </w:r>
    </w:p>
    <w:p>
      <w:pPr>
        <w:pBdr>
          <w:top w:val="single" w:color="E0C060" w:sz="4" w:space="4"/>
          <w:bottom w:val="single" w:color="E0C060" w:sz="4" w:space="4"/>
        </w:pBdr>
        <w:shd w:fill="FFF3CD" w:val="clear"/>
        <w:spacing w:after="160" w:before="100"/>
      </w:pPr>
      <w:r>
        <w:rPr>
          <w:b/>
          <w:bCs/>
        </w:rPr>
        <w:t xml:space="preserve">How to use this template. </w:t>
      </w:r>
      <w:r>
        <w:rPr>
          <w:i/>
          <w:iCs/>
        </w:rPr>
        <w:t xml:space="preserve">The wording below is a ready-to-use example. Replace the bracketed placeholders, adjust the commitments to fit your organisation, then have it approved and signed by top management.</w:t>
      </w:r>
    </w:p>
    <w:p>
      <w:pPr>
        <w:spacing w:after="130"/>
      </w:pPr>
      <w:r>
        <w:rPr>
          <w:b/>
          <w:bCs/>
        </w:rPr>
        <w:t xml:space="preserve">[COMPANY NAME]</w:t>
      </w:r>
      <w:r>
        <w:t xml:space="preserve"> is committed to consistently providing products and services that meet the needs and expectations of our customers, together with applicable statutory and regulatory requirements. Quality is central to how we work and to our long-term success.</w:t>
      </w:r>
    </w:p>
    <w:p>
      <w:pPr>
        <w:pStyle w:val="Heading2"/>
      </w:pPr>
      <w:r>
        <w:t xml:space="preserve">Our commitments</w:t>
      </w:r>
    </w:p>
    <w:p>
      <w:pPr>
        <w:spacing w:after="130"/>
      </w:pPr>
      <w:r>
        <w:t xml:space="preserve">To deliver this policy, we commit to:</w:t>
      </w:r>
    </w:p>
    <w:p>
      <w:pPr>
        <w:pStyle w:val="ListParagraph"/>
        <w:numPr>
          <w:ilvl w:val="0"/>
          <w:numId w:val="2"/>
        </w:numPr>
        <w:spacing w:after="60"/>
      </w:pPr>
      <w:r>
        <w:rPr>
          <w:b/>
          <w:bCs/>
        </w:rPr>
        <w:t xml:space="preserve">Meeting requirements</w:t>
      </w:r>
      <w:r>
        <w:t xml:space="preserve"> — understanding and satisfying customer, statutory, regulatory, and contractual requirements.</w:t>
      </w:r>
    </w:p>
    <w:p>
      <w:pPr>
        <w:pStyle w:val="ListParagraph"/>
        <w:numPr>
          <w:ilvl w:val="0"/>
          <w:numId w:val="2"/>
        </w:numPr>
        <w:spacing w:after="60"/>
      </w:pPr>
      <w:r>
        <w:rPr>
          <w:b/>
          <w:bCs/>
        </w:rPr>
        <w:t xml:space="preserve">The process approach</w:t>
      </w:r>
      <w:r>
        <w:t xml:space="preserve"> — managing our activities as clearly owned, connected processes with defined measures.</w:t>
      </w:r>
    </w:p>
    <w:p>
      <w:pPr>
        <w:pStyle w:val="ListParagraph"/>
        <w:numPr>
          <w:ilvl w:val="0"/>
          <w:numId w:val="2"/>
        </w:numPr>
        <w:spacing w:after="60"/>
      </w:pPr>
      <w:r>
        <w:rPr>
          <w:b/>
          <w:bCs/>
        </w:rPr>
        <w:t xml:space="preserve">Customer focus</w:t>
      </w:r>
      <w:r>
        <w:t xml:space="preserve"> — monitoring customer satisfaction and acting on feedback to improve their experience.</w:t>
      </w:r>
    </w:p>
    <w:p>
      <w:pPr>
        <w:pStyle w:val="ListParagraph"/>
        <w:numPr>
          <w:ilvl w:val="0"/>
          <w:numId w:val="2"/>
        </w:numPr>
        <w:spacing w:after="60"/>
      </w:pPr>
      <w:r>
        <w:rPr>
          <w:b/>
          <w:bCs/>
        </w:rPr>
        <w:t xml:space="preserve">Competent people</w:t>
      </w:r>
      <w:r>
        <w:t xml:space="preserve"> — ensuring our people have the competence, awareness, and resources to do quality work.</w:t>
      </w:r>
    </w:p>
    <w:p>
      <w:pPr>
        <w:pStyle w:val="ListParagraph"/>
        <w:numPr>
          <w:ilvl w:val="0"/>
          <w:numId w:val="2"/>
        </w:numPr>
        <w:spacing w:after="60"/>
      </w:pPr>
      <w:r>
        <w:rPr>
          <w:b/>
          <w:bCs/>
        </w:rPr>
        <w:t xml:space="preserve">Managing our suppliers</w:t>
      </w:r>
      <w:r>
        <w:t xml:space="preserve"> — selecting and evaluating external providers on their ability to meet requirements.</w:t>
      </w:r>
    </w:p>
    <w:p>
      <w:pPr>
        <w:pStyle w:val="ListParagraph"/>
        <w:numPr>
          <w:ilvl w:val="0"/>
          <w:numId w:val="2"/>
        </w:numPr>
        <w:spacing w:after="60"/>
      </w:pPr>
      <w:r>
        <w:rPr>
          <w:b/>
          <w:bCs/>
        </w:rPr>
        <w:t xml:space="preserve">Continual improvement</w:t>
      </w:r>
      <w:r>
        <w:t xml:space="preserve"> — setting and reviewing measurable quality objectives and continually improving our QMS.</w:t>
      </w:r>
    </w:p>
    <w:p>
      <w:pPr>
        <w:pStyle w:val="Heading2"/>
      </w:pPr>
      <w:r>
        <w:t xml:space="preserve">Responsibilities</w:t>
      </w:r>
    </w:p>
    <w:p>
      <w:pPr>
        <w:spacing w:after="130"/>
      </w:pPr>
      <w:r>
        <w:t xml:space="preserve">Top management is accountable for this policy and for the effectiveness of the Quality Management System. Every member of </w:t>
      </w:r>
      <w:r>
        <w:rPr>
          <w:b/>
          <w:bCs/>
        </w:rPr>
        <w:t xml:space="preserve">[COMPANY NAME]</w:t>
      </w:r>
      <w:r>
        <w:t xml:space="preserve"> is responsible for following our processes, meeting requirements, and reporting problems and improvement ideas.</w:t>
      </w:r>
    </w:p>
    <w:p>
      <w:pPr>
        <w:pStyle w:val="Heading2"/>
      </w:pPr>
      <w:r>
        <w:t xml:space="preserve">Review</w:t>
      </w:r>
    </w:p>
    <w:p>
      <w:pPr>
        <w:spacing w:after="130"/>
      </w:pPr>
      <w:r>
        <w:t xml:space="preserve">This policy is communicated within the organisation, made available to interested parties as appropriate, and reviewed for continuing suitability at management review or when significant changes occur.</w:t>
      </w:r>
    </w:p>
    <w:p>
      <w:pPr>
        <w:spacing w:after="40" w:before="260"/>
      </w:pPr>
      <w:r>
        <w:rPr>
          <w:b/>
          <w:bCs/>
        </w:rPr>
        <w:t xml:space="preserve">Signed:</w:t>
      </w:r>
    </w:p>
    <w:p>
      <w:pPr>
        <w:spacing w:after="130"/>
      </w:pPr>
      <w:r>
        <w:t xml:space="preserve">[INSERT CEO / MANAGING DIRECTOR SIGNATURE]</w:t>
      </w:r>
    </w:p>
    <w:p>
      <w:pPr>
        <w:spacing w:after="130"/>
      </w:pPr>
      <w:r>
        <w:t xml:space="preserve">[NAME], [JOB TITLE]     Date: [DATE]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lvl w:ilvl="1" w15:tentative="1">
      <w:start w:val="1"/>
      <w:numFmt w:val="bullet"/>
      <w:lvlText w:val="–"/>
      <w:lvlJc w:val="left"/>
      <w:pPr>
        <w:ind w:left="720" w:hanging="220"/>
      </w:pPr>
    </w:lvl>
  </w:abstractNum>
  <w:abstractNum w:abstractNumId="3" w15:restartNumberingAfterBreak="0">
    <w:multiLevelType w:val="hybridMultilevel"/>
    <w:lvl w:ilvl="0" w15:tentative="1">
      <w:start w:val="1"/>
      <w:numFmt w:val="decimal"/>
      <w:lvlText w:val="%1."/>
      <w:lvlJc w:val="left"/>
      <w:pPr>
        <w:ind w:left="360" w:hanging="220"/>
      </w:pPr>
    </w:lvl>
    <w:lvl w:ilvl="1" w15:tentative="1">
      <w:start w:val="1"/>
      <w:numFmt w:val="bullet"/>
      <w:lvlText w:val="–"/>
      <w:lvlJc w:val="left"/>
      <w:pPr>
        <w:ind w:left="72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60"/>
      <w:outlineLvl w:val="0"/>
    </w:pPr>
    <w:rPr>
      <w:rFonts w:ascii="Arial" w:cs="Arial" w:eastAsia="Arial" w:hAnsi="Arial"/>
      <w:b/>
      <w:bCs/>
      <w:color w:val="1B7AB8"/>
      <w:sz w:val="26"/>
      <w:szCs w:val="26"/>
    </w:rPr>
  </w:style>
  <w:style w:type="paragraph" w:styleId="Heading2">
    <w:name w:val="Heading 2"/>
    <w:basedOn w:val="Normal"/>
    <w:next w:val="Normal"/>
    <w:qFormat/>
    <w:pPr>
      <w:spacing w:after="90" w:before="200"/>
      <w:outlineLvl w:val="1"/>
    </w:pPr>
    <w:rPr>
      <w:rFonts w:ascii="Arial" w:cs="Arial" w:eastAsia="Arial" w:hAnsi="Arial"/>
      <w:b/>
      <w:bCs/>
      <w:color w:val="14567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Policy</dc:title>
  <dc:creator>Iseo Blue</dc:creator>
  <cp:lastModifiedBy>Un-named</cp:lastModifiedBy>
  <cp:revision>1</cp:revision>
  <dcterms:created xsi:type="dcterms:W3CDTF">2026-07-06T15:47:36.288Z</dcterms:created>
  <dcterms:modified xsi:type="dcterms:W3CDTF">2026-07-06T15:47:36.288Z</dcterms:modified>
</cp:coreProperties>
</file>

<file path=docProps/custom.xml><?xml version="1.0" encoding="utf-8"?>
<Properties xmlns="http://schemas.openxmlformats.org/officeDocument/2006/custom-properties" xmlns:vt="http://schemas.openxmlformats.org/officeDocument/2006/docPropsVTypes"/>
</file>