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1200"/>
        <w:jc w:val="center"/>
      </w:pPr>
      <w:r>
        <w:rPr>
          <w:rFonts w:ascii="Arial" w:cs="Arial" w:eastAsia="Arial" w:hAnsi="Arial"/>
          <w:b/>
          <w:bCs/>
          <w:color w:val="1F4E79"/>
          <w:sz w:val="56"/>
          <w:szCs w:val="56"/>
        </w:rPr>
        <w:t xml:space="preserve">Segregation of Duties</w:t>
      </w:r>
    </w:p>
    <w:p>
      <w:pPr>
        <w:spacing w:after="480"/>
        <w:jc w:val="center"/>
      </w:pPr>
      <w:r>
        <w:rPr>
          <w:rFonts w:ascii="Arial" w:cs="Arial" w:eastAsia="Arial" w:hAnsi="Arial"/>
          <w:color w:val="595959"/>
          <w:sz w:val="40"/>
          <w:szCs w:val="40"/>
        </w:rPr>
        <w:t xml:space="preserve">Analysis Template</w:t>
      </w:r>
    </w:p>
    <w:p>
      <w:pPr>
        <w:spacing w:after="600"/>
        <w:jc w:val="center"/>
      </w:pPr>
      <w:r>
        <w:rPr>
          <w:rFonts w:ascii="Arial" w:cs="Arial" w:eastAsia="Arial" w:hAnsi="Arial"/>
          <w:i/>
          <w:iCs/>
          <w:color w:val="595959"/>
          <w:sz w:val="24"/>
          <w:szCs w:val="24"/>
        </w:rPr>
        <w:t xml:space="preserve">ISO/IEC 27001:2022 — Annex A Control 5.3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BFBFBF" w:sz="4"/>
              <w:left w:val="single" w:color="BFBFBF" w:sz="4"/>
              <w:bottom w:val="single" w:color="BFBFBF" w:sz="4"/>
              <w:right w:val="single" w:color="BFBFBF" w:sz="4"/>
            </w:tcBorders>
            <w:shd w:fill="D5E8F0" w:val="clear"/>
            <w:tcMar>
              <w:top w:type="dxa" w:w="100"/>
              <w:left w:type="dxa" w:w="140"/>
              <w:bottom w:type="dxa" w:w="100"/>
              <w:right w:type="dxa" w:w="140"/>
            </w:tcMar>
          </w:tcPr>
          <w:p>
            <w:pPr>
              <w:spacing w:after="60"/>
            </w:pPr>
            <w:r>
              <w:rPr>
                <w:rFonts w:ascii="Arial" w:cs="Arial" w:eastAsia="Arial" w:hAnsi="Arial"/>
                <w:b/>
                <w:bCs/>
                <w:sz w:val="20"/>
                <w:szCs w:val="20"/>
              </w:rPr>
              <w:t xml:space="preserve">Document Title</w:t>
            </w:r>
          </w:p>
        </w:tc>
        <w:tc>
          <w:tcPr>
            <w:tcW w:type="dxa" w:w="62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Segregation of Duties Analysis</w:t>
            </w:r>
          </w:p>
        </w:tc>
      </w:tr>
      <w:tr>
        <w:tc>
          <w:tcPr>
            <w:tcW w:type="dxa" w:w="3120"/>
            <w:tcBorders>
              <w:top w:val="single" w:color="BFBFBF" w:sz="4"/>
              <w:left w:val="single" w:color="BFBFBF" w:sz="4"/>
              <w:bottom w:val="single" w:color="BFBFBF" w:sz="4"/>
              <w:right w:val="single" w:color="BFBFBF" w:sz="4"/>
            </w:tcBorders>
            <w:shd w:fill="D5E8F0" w:val="clear"/>
            <w:tcMar>
              <w:top w:type="dxa" w:w="100"/>
              <w:left w:type="dxa" w:w="140"/>
              <w:bottom w:type="dxa" w:w="100"/>
              <w:right w:type="dxa" w:w="140"/>
            </w:tcMar>
          </w:tcPr>
          <w:p>
            <w:pPr>
              <w:spacing w:after="60"/>
            </w:pPr>
            <w:r>
              <w:rPr>
                <w:rFonts w:ascii="Arial" w:cs="Arial" w:eastAsia="Arial" w:hAnsi="Arial"/>
                <w:b/>
                <w:bCs/>
                <w:sz w:val="20"/>
                <w:szCs w:val="20"/>
              </w:rPr>
              <w:t xml:space="preserve">Document Reference</w:t>
            </w:r>
          </w:p>
        </w:tc>
        <w:tc>
          <w:tcPr>
            <w:tcW w:type="dxa" w:w="62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[Insert reference]</w:t>
            </w:r>
          </w:p>
        </w:tc>
      </w:tr>
      <w:tr>
        <w:tc>
          <w:tcPr>
            <w:tcW w:type="dxa" w:w="3120"/>
            <w:tcBorders>
              <w:top w:val="single" w:color="BFBFBF" w:sz="4"/>
              <w:left w:val="single" w:color="BFBFBF" w:sz="4"/>
              <w:bottom w:val="single" w:color="BFBFBF" w:sz="4"/>
              <w:right w:val="single" w:color="BFBFBF" w:sz="4"/>
            </w:tcBorders>
            <w:shd w:fill="D5E8F0" w:val="clear"/>
            <w:tcMar>
              <w:top w:type="dxa" w:w="100"/>
              <w:left w:type="dxa" w:w="140"/>
              <w:bottom w:type="dxa" w:w="100"/>
              <w:right w:type="dxa" w:w="140"/>
            </w:tcMar>
          </w:tcPr>
          <w:p>
            <w:pPr>
              <w:spacing w:after="60"/>
            </w:pPr>
            <w:r>
              <w:rPr>
                <w:rFonts w:ascii="Arial" w:cs="Arial" w:eastAsia="Arial" w:hAnsi="Arial"/>
                <w:b/>
                <w:bCs/>
                <w:sz w:val="20"/>
                <w:szCs w:val="20"/>
              </w:rPr>
              <w:t xml:space="preserve">Version</w:t>
            </w:r>
          </w:p>
        </w:tc>
        <w:tc>
          <w:tcPr>
            <w:tcW w:type="dxa" w:w="62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1.0</w:t>
            </w:r>
          </w:p>
        </w:tc>
      </w:tr>
      <w:tr>
        <w:tc>
          <w:tcPr>
            <w:tcW w:type="dxa" w:w="3120"/>
            <w:tcBorders>
              <w:top w:val="single" w:color="BFBFBF" w:sz="4"/>
              <w:left w:val="single" w:color="BFBFBF" w:sz="4"/>
              <w:bottom w:val="single" w:color="BFBFBF" w:sz="4"/>
              <w:right w:val="single" w:color="BFBFBF" w:sz="4"/>
            </w:tcBorders>
            <w:shd w:fill="D5E8F0" w:val="clear"/>
            <w:tcMar>
              <w:top w:type="dxa" w:w="100"/>
              <w:left w:type="dxa" w:w="140"/>
              <w:bottom w:type="dxa" w:w="100"/>
              <w:right w:type="dxa" w:w="140"/>
            </w:tcMar>
          </w:tcPr>
          <w:p>
            <w:pPr>
              <w:spacing w:after="60"/>
            </w:pPr>
            <w:r>
              <w:rPr>
                <w:rFonts w:ascii="Arial" w:cs="Arial" w:eastAsia="Arial" w:hAnsi="Arial"/>
                <w:b/>
                <w:bCs/>
                <w:sz w:val="20"/>
                <w:szCs w:val="20"/>
              </w:rPr>
              <w:t xml:space="preserve">Date</w:t>
            </w:r>
          </w:p>
        </w:tc>
        <w:tc>
          <w:tcPr>
            <w:tcW w:type="dxa" w:w="62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[Insert date]</w:t>
            </w:r>
          </w:p>
        </w:tc>
      </w:tr>
      <w:tr>
        <w:tc>
          <w:tcPr>
            <w:tcW w:type="dxa" w:w="3120"/>
            <w:tcBorders>
              <w:top w:val="single" w:color="BFBFBF" w:sz="4"/>
              <w:left w:val="single" w:color="BFBFBF" w:sz="4"/>
              <w:bottom w:val="single" w:color="BFBFBF" w:sz="4"/>
              <w:right w:val="single" w:color="BFBFBF" w:sz="4"/>
            </w:tcBorders>
            <w:shd w:fill="D5E8F0" w:val="clear"/>
            <w:tcMar>
              <w:top w:type="dxa" w:w="100"/>
              <w:left w:type="dxa" w:w="140"/>
              <w:bottom w:type="dxa" w:w="100"/>
              <w:right w:type="dxa" w:w="140"/>
            </w:tcMar>
          </w:tcPr>
          <w:p>
            <w:pPr>
              <w:spacing w:after="60"/>
            </w:pPr>
            <w:r>
              <w:rPr>
                <w:rFonts w:ascii="Arial" w:cs="Arial" w:eastAsia="Arial" w:hAnsi="Arial"/>
                <w:b/>
                <w:bCs/>
                <w:sz w:val="20"/>
                <w:szCs w:val="20"/>
              </w:rPr>
              <w:t xml:space="preserve">Owner</w:t>
            </w:r>
          </w:p>
        </w:tc>
        <w:tc>
          <w:tcPr>
            <w:tcW w:type="dxa" w:w="62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[Insert role, e.g. Information Security Manager]</w:t>
            </w:r>
          </w:p>
        </w:tc>
      </w:tr>
      <w:tr>
        <w:tc>
          <w:tcPr>
            <w:tcW w:type="dxa" w:w="3120"/>
            <w:tcBorders>
              <w:top w:val="single" w:color="BFBFBF" w:sz="4"/>
              <w:left w:val="single" w:color="BFBFBF" w:sz="4"/>
              <w:bottom w:val="single" w:color="BFBFBF" w:sz="4"/>
              <w:right w:val="single" w:color="BFBFBF" w:sz="4"/>
            </w:tcBorders>
            <w:shd w:fill="D5E8F0" w:val="clear"/>
            <w:tcMar>
              <w:top w:type="dxa" w:w="100"/>
              <w:left w:type="dxa" w:w="140"/>
              <w:bottom w:type="dxa" w:w="100"/>
              <w:right w:type="dxa" w:w="140"/>
            </w:tcMar>
          </w:tcPr>
          <w:p>
            <w:pPr>
              <w:spacing w:after="60"/>
            </w:pPr>
            <w:r>
              <w:rPr>
                <w:rFonts w:ascii="Arial" w:cs="Arial" w:eastAsia="Arial" w:hAnsi="Arial"/>
                <w:b/>
                <w:bCs/>
                <w:sz w:val="20"/>
                <w:szCs w:val="20"/>
              </w:rPr>
              <w:t xml:space="preserve">Approved By</w:t>
            </w:r>
          </w:p>
        </w:tc>
        <w:tc>
          <w:tcPr>
            <w:tcW w:type="dxa" w:w="62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[Insert name and role]</w:t>
            </w:r>
          </w:p>
        </w:tc>
      </w:tr>
      <w:tr>
        <w:tc>
          <w:tcPr>
            <w:tcW w:type="dxa" w:w="3120"/>
            <w:tcBorders>
              <w:top w:val="single" w:color="BFBFBF" w:sz="4"/>
              <w:left w:val="single" w:color="BFBFBF" w:sz="4"/>
              <w:bottom w:val="single" w:color="BFBFBF" w:sz="4"/>
              <w:right w:val="single" w:color="BFBFBF" w:sz="4"/>
            </w:tcBorders>
            <w:shd w:fill="D5E8F0" w:val="clear"/>
            <w:tcMar>
              <w:top w:type="dxa" w:w="100"/>
              <w:left w:type="dxa" w:w="140"/>
              <w:bottom w:type="dxa" w:w="100"/>
              <w:right w:type="dxa" w:w="140"/>
            </w:tcMar>
          </w:tcPr>
          <w:p>
            <w:pPr>
              <w:spacing w:after="60"/>
            </w:pPr>
            <w:r>
              <w:rPr>
                <w:rFonts w:ascii="Arial" w:cs="Arial" w:eastAsia="Arial" w:hAnsi="Arial"/>
                <w:b/>
                <w:bCs/>
                <w:sz w:val="20"/>
                <w:szCs w:val="20"/>
              </w:rPr>
              <w:t xml:space="preserve">Review Frequency</w:t>
            </w:r>
          </w:p>
        </w:tc>
        <w:tc>
          <w:tcPr>
            <w:tcW w:type="dxa" w:w="62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Annually, or following significant organisational change</w:t>
            </w:r>
          </w:p>
        </w:tc>
      </w:tr>
    </w:tbl>
    <w:p>
      <w:pPr>
        <w:pageBreakBefore/>
      </w:pPr>
      <w:r>
        <w:t xml:space="preserve"/>
      </w:r>
    </w:p>
    <w:p>
      <w:pPr>
        <w:pStyle w:val="Heading1"/>
        <w:spacing w:after="120" w:before="240"/>
      </w:pPr>
      <w:r>
        <w:rPr>
          <w:rFonts w:ascii="Arial" w:cs="Arial" w:eastAsia="Arial" w:hAnsi="Arial"/>
          <w:b/>
          <w:bCs/>
          <w:color w:val="1F4E79"/>
        </w:rPr>
        <w:t xml:space="preserve">1. Purpose</w:t>
      </w:r>
    </w:p>
    <w:p>
      <w:pPr>
        <w:spacing w:after="120"/>
      </w:pPr>
      <w:r>
        <w:rPr>
          <w:rFonts w:ascii="Arial" w:cs="Arial" w:eastAsia="Arial" w:hAnsi="Arial"/>
          <w:sz w:val="22"/>
          <w:szCs w:val="22"/>
        </w:rPr>
        <w:t xml:space="preserve">This document records the segregation of duties analysis carried out by [Organisation Name] in support of ISO/IEC 27001:2022 Annex A Control 5.3 (Segregation of duties).</w:t>
      </w:r>
    </w:p>
    <w:p>
      <w:pPr>
        <w:spacing w:after="120"/>
      </w:pPr>
      <w:r>
        <w:rPr>
          <w:rFonts w:ascii="Arial" w:cs="Arial" w:eastAsia="Arial" w:hAnsi="Arial"/>
          <w:sz w:val="22"/>
          <w:szCs w:val="22"/>
        </w:rPr>
        <w:t xml:space="preserve">The aim is to identify activities and processes where conflicting duties could create a risk to the confidentiality, integrity, or availability of information, and to set out the compensating controls in place where full segregation is not practical.</w:t>
      </w:r>
    </w:p>
    <w:p>
      <w:pPr>
        <w:spacing w:after="120"/>
      </w:pPr>
      <w:r>
        <w:rPr>
          <w:rFonts w:ascii="Arial" w:cs="Arial" w:eastAsia="Arial" w:hAnsi="Arial"/>
          <w:sz w:val="22"/>
          <w:szCs w:val="22"/>
        </w:rPr>
        <w:t xml:space="preserve">This analysis acknowledges that, as a small or medium-sized organisation, full segregation of every conflicting duty is not always achievable. Where this is the case, the conflict is recorded openly and managed through documented compensating controls, in line with the risk-based approach permitted by ISO 27001.</w:t>
      </w:r>
    </w:p>
    <w:p>
      <w:pPr>
        <w:pStyle w:val="Heading1"/>
        <w:spacing w:after="120" w:before="240"/>
      </w:pPr>
      <w:r>
        <w:rPr>
          <w:rFonts w:ascii="Arial" w:cs="Arial" w:eastAsia="Arial" w:hAnsi="Arial"/>
          <w:b/>
          <w:bCs/>
          <w:color w:val="1F4E79"/>
        </w:rPr>
        <w:t xml:space="preserve">2. Scope</w:t>
      </w:r>
    </w:p>
    <w:p>
      <w:pPr>
        <w:spacing w:after="120"/>
      </w:pPr>
      <w:r>
        <w:rPr>
          <w:rFonts w:ascii="Arial" w:cs="Arial" w:eastAsia="Arial" w:hAnsi="Arial"/>
          <w:sz w:val="22"/>
          <w:szCs w:val="22"/>
        </w:rPr>
        <w:t xml:space="preserve">This analysis covers all processes and activities within the scope of the [Organisation Name] Information Security Management System (ISMS), including but not limited to:</w:t>
      </w:r>
    </w:p>
    <w:p>
      <w:pPr>
        <w:pStyle w:val="ListParagraph"/>
        <w:numPr>
          <w:ilvl w:val="0"/>
          <w:numId w:val="2"/>
        </w:numPr>
        <w:spacing w:after="80"/>
      </w:pPr>
      <w:r>
        <w:rPr>
          <w:rFonts w:ascii="Arial" w:cs="Arial" w:eastAsia="Arial" w:hAnsi="Arial"/>
          <w:sz w:val="22"/>
          <w:szCs w:val="22"/>
        </w:rPr>
        <w:t xml:space="preserve">Change management</w:t>
      </w:r>
    </w:p>
    <w:p>
      <w:pPr>
        <w:pStyle w:val="ListParagraph"/>
        <w:numPr>
          <w:ilvl w:val="0"/>
          <w:numId w:val="2"/>
        </w:numPr>
        <w:spacing w:after="80"/>
      </w:pPr>
      <w:r>
        <w:rPr>
          <w:rFonts w:ascii="Arial" w:cs="Arial" w:eastAsia="Arial" w:hAnsi="Arial"/>
          <w:sz w:val="22"/>
          <w:szCs w:val="22"/>
        </w:rPr>
        <w:t xml:space="preserve">Access control and user provisioning</w:t>
      </w:r>
    </w:p>
    <w:p>
      <w:pPr>
        <w:pStyle w:val="ListParagraph"/>
        <w:numPr>
          <w:ilvl w:val="0"/>
          <w:numId w:val="2"/>
        </w:numPr>
        <w:spacing w:after="80"/>
      </w:pPr>
      <w:r>
        <w:rPr>
          <w:rFonts w:ascii="Arial" w:cs="Arial" w:eastAsia="Arial" w:hAnsi="Arial"/>
          <w:sz w:val="22"/>
          <w:szCs w:val="22"/>
        </w:rPr>
        <w:t xml:space="preserve">Software development and code review</w:t>
      </w:r>
    </w:p>
    <w:p>
      <w:pPr>
        <w:pStyle w:val="ListParagraph"/>
        <w:numPr>
          <w:ilvl w:val="0"/>
          <w:numId w:val="2"/>
        </w:numPr>
        <w:spacing w:after="80"/>
      </w:pPr>
      <w:r>
        <w:rPr>
          <w:rFonts w:ascii="Arial" w:cs="Arial" w:eastAsia="Arial" w:hAnsi="Arial"/>
          <w:sz w:val="22"/>
          <w:szCs w:val="22"/>
        </w:rPr>
        <w:t xml:space="preserve">Production system administration</w:t>
      </w:r>
    </w:p>
    <w:p>
      <w:pPr>
        <w:pStyle w:val="ListParagraph"/>
        <w:numPr>
          <w:ilvl w:val="0"/>
          <w:numId w:val="2"/>
        </w:numPr>
        <w:spacing w:after="80"/>
      </w:pPr>
      <w:r>
        <w:rPr>
          <w:rFonts w:ascii="Arial" w:cs="Arial" w:eastAsia="Arial" w:hAnsi="Arial"/>
          <w:sz w:val="22"/>
          <w:szCs w:val="22"/>
        </w:rPr>
        <w:t xml:space="preserve">Application and database management</w:t>
      </w:r>
    </w:p>
    <w:p>
      <w:pPr>
        <w:pStyle w:val="ListParagraph"/>
        <w:numPr>
          <w:ilvl w:val="0"/>
          <w:numId w:val="2"/>
        </w:numPr>
        <w:spacing w:after="80"/>
      </w:pPr>
      <w:r>
        <w:rPr>
          <w:rFonts w:ascii="Arial" w:cs="Arial" w:eastAsia="Arial" w:hAnsi="Arial"/>
          <w:sz w:val="22"/>
          <w:szCs w:val="22"/>
        </w:rPr>
        <w:t xml:space="preserve">Security control design, audit, and assurance</w:t>
      </w:r>
    </w:p>
    <w:p>
      <w:pPr>
        <w:pStyle w:val="ListParagraph"/>
        <w:numPr>
          <w:ilvl w:val="0"/>
          <w:numId w:val="2"/>
        </w:numPr>
        <w:spacing w:after="80"/>
      </w:pPr>
      <w:r>
        <w:rPr>
          <w:rFonts w:ascii="Arial" w:cs="Arial" w:eastAsia="Arial" w:hAnsi="Arial"/>
          <w:sz w:val="22"/>
          <w:szCs w:val="22"/>
        </w:rPr>
        <w:t xml:space="preserve">Financial and procurement processes that affect information security</w:t>
      </w:r>
    </w:p>
    <w:p>
      <w:pPr>
        <w:spacing w:after="240"/>
      </w:pPr>
      <w:r>
        <w:rPr>
          <w:rFonts w:ascii="Arial" w:cs="Arial" w:eastAsia="Arial" w:hAnsi="Arial"/>
          <w:sz w:val="22"/>
          <w:szCs w:val="22"/>
        </w:rPr>
        <w:t xml:space="preserve">It applies to all employees, contractors, and third parties acting on behalf of the organisation.</w:t>
      </w:r>
    </w:p>
    <w:p>
      <w:pPr>
        <w:pStyle w:val="Heading1"/>
        <w:spacing w:after="120" w:before="240"/>
      </w:pPr>
      <w:r>
        <w:rPr>
          <w:rFonts w:ascii="Arial" w:cs="Arial" w:eastAsia="Arial" w:hAnsi="Arial"/>
          <w:b/>
          <w:bCs/>
          <w:color w:val="1F4E79"/>
        </w:rPr>
        <w:t xml:space="preserve">3. Approach</w:t>
      </w:r>
    </w:p>
    <w:p>
      <w:pPr>
        <w:spacing w:after="120"/>
      </w:pPr>
      <w:r>
        <w:rPr>
          <w:rFonts w:ascii="Arial" w:cs="Arial" w:eastAsia="Arial" w:hAnsi="Arial"/>
          <w:sz w:val="22"/>
          <w:szCs w:val="22"/>
        </w:rPr>
        <w:t xml:space="preserve">The analysis follows four steps:</w:t>
      </w:r>
    </w:p>
    <w:p>
      <w:pPr>
        <w:pStyle w:val="ListParagraph"/>
        <w:numPr>
          <w:ilvl w:val="0"/>
          <w:numId w:val="2"/>
        </w:numPr>
        <w:spacing w:after="80"/>
      </w:pPr>
      <w:r>
        <w:rPr>
          <w:rFonts w:ascii="Arial" w:cs="Arial" w:eastAsia="Arial" w:hAnsi="Arial"/>
          <w:b/>
          <w:bCs/>
          <w:sz w:val="22"/>
          <w:szCs w:val="22"/>
        </w:rPr>
        <w:t xml:space="preserve">Identify</w:t>
      </w:r>
      <w:r>
        <w:rPr>
          <w:rFonts w:ascii="Arial" w:cs="Arial" w:eastAsia="Arial" w:hAnsi="Arial"/>
          <w:sz w:val="22"/>
          <w:szCs w:val="22"/>
        </w:rPr>
        <w:t xml:space="preserve"> activities where one person could both perform and conceal an action, or where a single role combines duties that should ideally be separated.</w:t>
      </w:r>
    </w:p>
    <w:p>
      <w:pPr>
        <w:pStyle w:val="ListParagraph"/>
        <w:numPr>
          <w:ilvl w:val="0"/>
          <w:numId w:val="2"/>
        </w:numPr>
        <w:spacing w:after="80"/>
      </w:pPr>
      <w:r>
        <w:rPr>
          <w:rFonts w:ascii="Arial" w:cs="Arial" w:eastAsia="Arial" w:hAnsi="Arial"/>
          <w:b/>
          <w:bCs/>
          <w:sz w:val="22"/>
          <w:szCs w:val="22"/>
        </w:rPr>
        <w:t xml:space="preserve">Assess</w:t>
      </w:r>
      <w:r>
        <w:rPr>
          <w:rFonts w:ascii="Arial" w:cs="Arial" w:eastAsia="Arial" w:hAnsi="Arial"/>
          <w:sz w:val="22"/>
          <w:szCs w:val="22"/>
        </w:rPr>
        <w:t xml:space="preserve"> the risk associated with each conflict, considering likelihood and impact.</w:t>
      </w:r>
    </w:p>
    <w:p>
      <w:pPr>
        <w:pStyle w:val="ListParagraph"/>
        <w:numPr>
          <w:ilvl w:val="0"/>
          <w:numId w:val="2"/>
        </w:numPr>
        <w:spacing w:after="80"/>
      </w:pPr>
      <w:r>
        <w:rPr>
          <w:rFonts w:ascii="Arial" w:cs="Arial" w:eastAsia="Arial" w:hAnsi="Arial"/>
          <w:b/>
          <w:bCs/>
          <w:sz w:val="22"/>
          <w:szCs w:val="22"/>
        </w:rPr>
        <w:t xml:space="preserve">Mitigate</w:t>
      </w:r>
      <w:r>
        <w:rPr>
          <w:rFonts w:ascii="Arial" w:cs="Arial" w:eastAsia="Arial" w:hAnsi="Arial"/>
          <w:sz w:val="22"/>
          <w:szCs w:val="22"/>
        </w:rPr>
        <w:t xml:space="preserve"> the risk through full segregation where possible, or compensating controls where not.</w:t>
      </w:r>
    </w:p>
    <w:p>
      <w:pPr>
        <w:pStyle w:val="ListParagraph"/>
        <w:numPr>
          <w:ilvl w:val="0"/>
          <w:numId w:val="2"/>
        </w:numPr>
        <w:spacing w:after="240"/>
      </w:pPr>
      <w:r>
        <w:rPr>
          <w:rFonts w:ascii="Arial" w:cs="Arial" w:eastAsia="Arial" w:hAnsi="Arial"/>
          <w:b/>
          <w:bCs/>
          <w:sz w:val="22"/>
          <w:szCs w:val="22"/>
        </w:rPr>
        <w:t xml:space="preserve">Review</w:t>
      </w:r>
      <w:r>
        <w:rPr>
          <w:rFonts w:ascii="Arial" w:cs="Arial" w:eastAsia="Arial" w:hAnsi="Arial"/>
          <w:sz w:val="22"/>
          <w:szCs w:val="22"/>
        </w:rPr>
        <w:t xml:space="preserve"> the analysis at least annually, and following any significant change in organisational structure, systems, or risk profile.</w:t>
      </w:r>
    </w:p>
    <w:p>
      <w:pPr>
        <w:pStyle w:val="Heading1"/>
        <w:spacing w:after="120" w:before="240"/>
      </w:pPr>
      <w:r>
        <w:rPr>
          <w:rFonts w:ascii="Arial" w:cs="Arial" w:eastAsia="Arial" w:hAnsi="Arial"/>
          <w:b/>
          <w:bCs/>
          <w:color w:val="1F4E79"/>
        </w:rPr>
        <w:t xml:space="preserve">4. Risk Rating Guidance</w:t>
      </w:r>
    </w:p>
    <w:p>
      <w:pPr>
        <w:spacing w:after="120"/>
      </w:pPr>
      <w:r>
        <w:rPr>
          <w:rFonts w:ascii="Arial" w:cs="Arial" w:eastAsia="Arial" w:hAnsi="Arial"/>
          <w:sz w:val="22"/>
          <w:szCs w:val="22"/>
        </w:rPr>
        <w:t xml:space="preserve">Risk ratings in this register align with the organisation's wider risk methodology. As a guide:</w:t>
      </w:r>
    </w:p>
    <w:p>
      <w:pPr>
        <w:pStyle w:val="ListParagraph"/>
        <w:numPr>
          <w:ilvl w:val="0"/>
          <w:numId w:val="2"/>
        </w:numPr>
        <w:spacing w:after="80"/>
      </w:pPr>
      <w:r>
        <w:rPr>
          <w:rFonts w:ascii="Arial" w:cs="Arial" w:eastAsia="Arial" w:hAnsi="Arial"/>
          <w:b/>
          <w:bCs/>
          <w:sz w:val="22"/>
          <w:szCs w:val="22"/>
        </w:rPr>
        <w:t xml:space="preserve">High: </w:t>
      </w:r>
      <w:r>
        <w:rPr>
          <w:rFonts w:ascii="Arial" w:cs="Arial" w:eastAsia="Arial" w:hAnsi="Arial"/>
          <w:sz w:val="22"/>
          <w:szCs w:val="22"/>
        </w:rPr>
        <w:t xml:space="preserve">Conflict could lead to significant financial loss, regulatory breach, or material compromise of information security if exploited. Requires strong compensating controls and senior management oversight.</w:t>
      </w:r>
    </w:p>
    <w:p>
      <w:pPr>
        <w:pStyle w:val="ListParagraph"/>
        <w:numPr>
          <w:ilvl w:val="0"/>
          <w:numId w:val="2"/>
        </w:numPr>
        <w:spacing w:after="80"/>
      </w:pPr>
      <w:r>
        <w:rPr>
          <w:rFonts w:ascii="Arial" w:cs="Arial" w:eastAsia="Arial" w:hAnsi="Arial"/>
          <w:b/>
          <w:bCs/>
          <w:sz w:val="22"/>
          <w:szCs w:val="22"/>
        </w:rPr>
        <w:t xml:space="preserve">Medium: </w:t>
      </w:r>
      <w:r>
        <w:rPr>
          <w:rFonts w:ascii="Arial" w:cs="Arial" w:eastAsia="Arial" w:hAnsi="Arial"/>
          <w:sz w:val="22"/>
          <w:szCs w:val="22"/>
        </w:rPr>
        <w:t xml:space="preserve">Conflict could lead to operational disruption or limited security impact. Requires documented compensating controls and regular review.</w:t>
      </w:r>
    </w:p>
    <w:p>
      <w:pPr>
        <w:pStyle w:val="ListParagraph"/>
        <w:numPr>
          <w:ilvl w:val="0"/>
          <w:numId w:val="2"/>
        </w:numPr>
        <w:spacing w:after="240"/>
      </w:pPr>
      <w:r>
        <w:rPr>
          <w:rFonts w:ascii="Arial" w:cs="Arial" w:eastAsia="Arial" w:hAnsi="Arial"/>
          <w:b/>
          <w:bCs/>
          <w:sz w:val="22"/>
          <w:szCs w:val="22"/>
        </w:rPr>
        <w:t xml:space="preserve">Low: </w:t>
      </w:r>
      <w:r>
        <w:rPr>
          <w:rFonts w:ascii="Arial" w:cs="Arial" w:eastAsia="Arial" w:hAnsi="Arial"/>
          <w:sz w:val="22"/>
          <w:szCs w:val="22"/>
        </w:rPr>
        <w:t xml:space="preserve">Conflict has limited potential for harm. Standard logging and periodic review usually sufficient.</w:t>
      </w:r>
    </w:p>
    <w:p>
      <w:pPr>
        <w:pStyle w:val="Heading1"/>
        <w:spacing w:after="120" w:before="240"/>
      </w:pPr>
      <w:r>
        <w:rPr>
          <w:rFonts w:ascii="Arial" w:cs="Arial" w:eastAsia="Arial" w:hAnsi="Arial"/>
          <w:b/>
          <w:bCs/>
          <w:color w:val="1F4E79"/>
        </w:rPr>
        <w:t xml:space="preserve">5. Conflict Register</w:t>
      </w:r>
    </w:p>
    <w:p>
      <w:pPr>
        <w:spacing w:after="120"/>
      </w:pPr>
      <w:r>
        <w:rPr>
          <w:rFonts w:ascii="Arial" w:cs="Arial" w:eastAsia="Arial" w:hAnsi="Arial"/>
          <w:sz w:val="22"/>
          <w:szCs w:val="22"/>
        </w:rPr>
        <w:t xml:space="preserve">The table below lists identified segregation conflicts, the associated risk, and the compensating controls in place. One worked example is included for guidance and should be removed or replaced with organisation-specific entries.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1500"/>
        <w:gridCol w:w="1700"/>
        <w:gridCol w:w="1200"/>
        <w:gridCol w:w="1500"/>
        <w:gridCol w:w="760"/>
        <w:gridCol w:w="1300"/>
        <w:gridCol w:w="700"/>
      </w:tblGrid>
      <w:tr>
        <w:trPr>
          <w:tblHeader/>
        </w:trPr>
        <w:tc>
          <w:tcPr>
            <w:tcW w:type="dxa" w:w="7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18"/>
                <w:szCs w:val="18"/>
              </w:rPr>
              <w:t xml:space="preserve">Ref</w:t>
            </w:r>
          </w:p>
        </w:tc>
        <w:tc>
          <w:tcPr>
            <w:tcW w:type="dxa" w:w="15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18"/>
                <w:szCs w:val="18"/>
              </w:rPr>
              <w:t xml:space="preserve">Process / Activity</w:t>
            </w:r>
          </w:p>
        </w:tc>
        <w:tc>
          <w:tcPr>
            <w:tcW w:type="dxa" w:w="17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18"/>
                <w:szCs w:val="18"/>
              </w:rPr>
              <w:t xml:space="preserve">Conflicting Duties</w:t>
            </w:r>
          </w:p>
        </w:tc>
        <w:tc>
          <w:tcPr>
            <w:tcW w:type="dxa" w:w="12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18"/>
                <w:szCs w:val="18"/>
              </w:rPr>
              <w:t xml:space="preserve">Person / Role Affected</w:t>
            </w:r>
          </w:p>
        </w:tc>
        <w:tc>
          <w:tcPr>
            <w:tcW w:type="dxa" w:w="15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18"/>
                <w:szCs w:val="18"/>
              </w:rPr>
              <w:t xml:space="preserve">Risk if Unmitigated</w:t>
            </w:r>
          </w:p>
        </w:tc>
        <w:tc>
          <w:tcPr>
            <w:tcW w:type="dxa" w:w="76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18"/>
                <w:szCs w:val="18"/>
              </w:rPr>
              <w:t xml:space="preserve">Risk Rating</w:t>
            </w:r>
          </w:p>
        </w:tc>
        <w:tc>
          <w:tcPr>
            <w:tcW w:type="dxa" w:w="13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18"/>
                <w:szCs w:val="18"/>
              </w:rPr>
              <w:t xml:space="preserve">Compensating Controls</w:t>
            </w:r>
          </w:p>
        </w:tc>
        <w:tc>
          <w:tcPr>
            <w:tcW w:type="dxa" w:w="7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18"/>
                <w:szCs w:val="18"/>
              </w:rPr>
              <w:t xml:space="preserve">Owner</w:t>
            </w:r>
          </w:p>
        </w:tc>
      </w:tr>
      <w:tr>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SOD-01</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User access provisioning</w:t>
            </w:r>
          </w:p>
        </w:tc>
        <w:tc>
          <w:tcPr>
            <w:tcW w:type="dxa" w:w="1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Same person requests, approves, and implements access changes</w:t>
            </w:r>
          </w:p>
        </w:tc>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IT Manager</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Unauthorised or excessive access could be granted without independent check</w:t>
            </w:r>
          </w:p>
        </w:tc>
        <w:tc>
          <w:tcPr>
            <w:tcW w:type="dxa" w:w="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Medium</w:t>
            </w:r>
          </w:p>
        </w:tc>
        <w:tc>
          <w:tcPr>
            <w:tcW w:type="dxa" w:w="13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Monthly access review by Managing Director against access request log; all changes logged in ticketing system</w:t>
            </w:r>
          </w:p>
        </w:tc>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MD</w:t>
            </w:r>
          </w:p>
        </w:tc>
      </w:tr>
      <w:tr>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SOD-02</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[Process]</w:t>
            </w:r>
          </w:p>
        </w:tc>
        <w:tc>
          <w:tcPr>
            <w:tcW w:type="dxa" w:w="1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[Describe]</w:t>
            </w:r>
          </w:p>
        </w:tc>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[Role]</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[Describe]</w:t>
            </w:r>
          </w:p>
        </w:tc>
        <w:tc>
          <w:tcPr>
            <w:tcW w:type="dxa" w:w="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[H/M/L]</w:t>
            </w:r>
          </w:p>
        </w:tc>
        <w:tc>
          <w:tcPr>
            <w:tcW w:type="dxa" w:w="13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[List controls]</w:t>
            </w:r>
          </w:p>
        </w:tc>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[Role]</w:t>
            </w:r>
          </w:p>
        </w:tc>
      </w:tr>
      <w:tr>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SOD-03</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3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r>
      <w:tr>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SOD-04</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3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r>
      <w:tr>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SOD-05</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3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r>
      <w:tr>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SOD-06</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3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r>
      <w:tr>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SOD-07</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3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r>
      <w:tr>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SOD-08</w:t>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5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13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c>
          <w:tcPr>
            <w:tcW w:type="dxa" w:w="7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
            </w:r>
          </w:p>
        </w:tc>
      </w:tr>
    </w:tbl>
    <w:p>
      <w:pPr>
        <w:pageBreakBefore/>
      </w:pPr>
      <w:r>
        <w:t xml:space="preserve"/>
      </w:r>
    </w:p>
    <w:p>
      <w:pPr>
        <w:pStyle w:val="Heading1"/>
        <w:spacing w:after="120" w:before="240"/>
      </w:pPr>
      <w:r>
        <w:rPr>
          <w:rFonts w:ascii="Arial" w:cs="Arial" w:eastAsia="Arial" w:hAnsi="Arial"/>
          <w:b/>
          <w:bCs/>
          <w:color w:val="1F4E79"/>
        </w:rPr>
        <w:t xml:space="preserve">6. Compensating Controls Reference</w:t>
      </w:r>
    </w:p>
    <w:p>
      <w:pPr>
        <w:spacing w:after="120"/>
      </w:pPr>
      <w:r>
        <w:rPr>
          <w:rFonts w:ascii="Arial" w:cs="Arial" w:eastAsia="Arial" w:hAnsi="Arial"/>
          <w:sz w:val="22"/>
          <w:szCs w:val="22"/>
        </w:rPr>
        <w:t xml:space="preserve">The following compensating controls are available for use where full segregation is not practical. Each entry in the conflict register should reference one or more of these.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Control Type</w:t>
            </w:r>
          </w:p>
        </w:tc>
        <w:tc>
          <w:tcPr>
            <w:tcW w:type="dxa" w:w="656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Description and Examples</w:t>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tcPr>
          <w:p>
            <w:pPr>
              <w:spacing w:after="60"/>
            </w:pPr>
            <w:r>
              <w:rPr>
                <w:rFonts w:ascii="Arial" w:cs="Arial" w:eastAsia="Arial" w:hAnsi="Arial"/>
                <w:b/>
                <w:bCs/>
                <w:sz w:val="20"/>
                <w:szCs w:val="20"/>
              </w:rPr>
              <w:t xml:space="preserve">Tooling-enforced separation</w:t>
            </w:r>
          </w:p>
        </w:tc>
        <w:tc>
          <w:tcPr>
            <w:tcW w:type="dxa" w:w="65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Built-in approval workflows in the platforms you already use. Examples: GitHub branch protection requiring pull request approval, finance systems requiring dual authorisation above a threshold, identity providers with formal access request workflows.</w:t>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tcPr>
          <w:p>
            <w:pPr>
              <w:spacing w:after="60"/>
            </w:pPr>
            <w:r>
              <w:rPr>
                <w:rFonts w:ascii="Arial" w:cs="Arial" w:eastAsia="Arial" w:hAnsi="Arial"/>
                <w:b/>
                <w:bCs/>
                <w:sz w:val="20"/>
                <w:szCs w:val="20"/>
              </w:rPr>
              <w:t xml:space="preserve">Logging and monitoring</w:t>
            </w:r>
          </w:p>
        </w:tc>
        <w:tc>
          <w:tcPr>
            <w:tcW w:type="dxa" w:w="65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Privileged action logging, log forwarding to tamper-resistant storage, automated alerts on high-risk actions (permission changes, mass exports, out-of-hours admin activity).</w:t>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tcPr>
          <w:p>
            <w:pPr>
              <w:spacing w:after="60"/>
            </w:pPr>
            <w:r>
              <w:rPr>
                <w:rFonts w:ascii="Arial" w:cs="Arial" w:eastAsia="Arial" w:hAnsi="Arial"/>
                <w:b/>
                <w:bCs/>
                <w:sz w:val="20"/>
                <w:szCs w:val="20"/>
              </w:rPr>
              <w:t xml:space="preserve">Management review</w:t>
            </w:r>
          </w:p>
        </w:tc>
        <w:tc>
          <w:tcPr>
            <w:tcW w:type="dxa" w:w="65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Documented after-the-fact review by a director or senior manager. Examples: weekly access reviews, monthly change logs, quarterly privileged user activity reports. Reviews must be evidenced (signed minutes, dated reports).</w:t>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tcPr>
          <w:p>
            <w:pPr>
              <w:spacing w:after="60"/>
            </w:pPr>
            <w:r>
              <w:rPr>
                <w:rFonts w:ascii="Arial" w:cs="Arial" w:eastAsia="Arial" w:hAnsi="Arial"/>
                <w:b/>
                <w:bCs/>
                <w:sz w:val="20"/>
                <w:szCs w:val="20"/>
              </w:rPr>
              <w:t xml:space="preserve">External assurance</w:t>
            </w:r>
          </w:p>
        </w:tc>
        <w:tc>
          <w:tcPr>
            <w:tcW w:type="dxa" w:w="65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External internal audit, penetration testing, vulnerability scanning, or independent code review. Rotate focus annually rather than auditing everything every year.</w:t>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tcPr>
          <w:p>
            <w:pPr>
              <w:spacing w:after="60"/>
            </w:pPr>
            <w:r>
              <w:rPr>
                <w:rFonts w:ascii="Arial" w:cs="Arial" w:eastAsia="Arial" w:hAnsi="Arial"/>
                <w:b/>
                <w:bCs/>
                <w:sz w:val="20"/>
                <w:szCs w:val="20"/>
              </w:rPr>
              <w:t xml:space="preserve">Peer review</w:t>
            </w:r>
          </w:p>
        </w:tc>
        <w:tc>
          <w:tcPr>
            <w:tcW w:type="dxa" w:w="65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Code review, change review, or risk assessment review by a colleague rather than solo. Effective where team members have the competence to challenge each other's work.</w:t>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tcPr>
          <w:p>
            <w:pPr>
              <w:spacing w:after="60"/>
            </w:pPr>
            <w:r>
              <w:rPr>
                <w:rFonts w:ascii="Arial" w:cs="Arial" w:eastAsia="Arial" w:hAnsi="Arial"/>
                <w:b/>
                <w:bCs/>
                <w:sz w:val="20"/>
                <w:szCs w:val="20"/>
              </w:rPr>
              <w:t xml:space="preserve">Mandatory leave and rotation</w:t>
            </w:r>
          </w:p>
        </w:tc>
        <w:tc>
          <w:tcPr>
            <w:tcW w:type="dxa" w:w="65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Two weeks of continuous leave annually with cover provided by another team member. Rotation of sensitive responsibilities between staff where practical.</w:t>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40"/>
              <w:bottom w:type="dxa" w:w="100"/>
              <w:right w:type="dxa" w:w="140"/>
            </w:tcMar>
          </w:tcPr>
          <w:p>
            <w:pPr>
              <w:spacing w:after="60"/>
            </w:pPr>
            <w:r>
              <w:rPr>
                <w:rFonts w:ascii="Arial" w:cs="Arial" w:eastAsia="Arial" w:hAnsi="Arial"/>
                <w:b/>
                <w:bCs/>
                <w:sz w:val="20"/>
                <w:szCs w:val="20"/>
              </w:rPr>
              <w:t xml:space="preserve">Third-party oversight</w:t>
            </w:r>
          </w:p>
        </w:tc>
        <w:tc>
          <w:tcPr>
            <w:tcW w:type="dxa" w:w="65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Where clients, suppliers, or external auditors naturally see the work product (deliverables, invoices, reports), this can be recognised as part of the control environment.</w:t>
            </w:r>
          </w:p>
        </w:tc>
      </w:tr>
    </w:tbl>
    <w:p>
      <w:pPr>
        <w:pStyle w:val="Heading1"/>
        <w:spacing w:after="120" w:before="240"/>
      </w:pPr>
      <w:r>
        <w:rPr>
          <w:rFonts w:ascii="Arial" w:cs="Arial" w:eastAsia="Arial" w:hAnsi="Arial"/>
          <w:b/>
          <w:bCs/>
          <w:color w:val="1F4E79"/>
        </w:rPr>
        <w:t xml:space="preserve">7. Review and Maintenance</w:t>
      </w:r>
    </w:p>
    <w:p>
      <w:pPr>
        <w:spacing w:after="120"/>
      </w:pPr>
      <w:r>
        <w:rPr>
          <w:rFonts w:ascii="Arial" w:cs="Arial" w:eastAsia="Arial" w:hAnsi="Arial"/>
          <w:sz w:val="22"/>
          <w:szCs w:val="22"/>
        </w:rPr>
        <w:t xml:space="preserve">This document is reviewed at least annually by the document owner. A review will also be triggered by:</w:t>
      </w:r>
    </w:p>
    <w:p>
      <w:pPr>
        <w:pStyle w:val="ListParagraph"/>
        <w:numPr>
          <w:ilvl w:val="0"/>
          <w:numId w:val="2"/>
        </w:numPr>
        <w:spacing w:after="80"/>
      </w:pPr>
      <w:r>
        <w:rPr>
          <w:rFonts w:ascii="Arial" w:cs="Arial" w:eastAsia="Arial" w:hAnsi="Arial"/>
          <w:sz w:val="22"/>
          <w:szCs w:val="22"/>
        </w:rPr>
        <w:t xml:space="preserve">Significant change in organisational structure or headcount</w:t>
      </w:r>
    </w:p>
    <w:p>
      <w:pPr>
        <w:pStyle w:val="ListParagraph"/>
        <w:numPr>
          <w:ilvl w:val="0"/>
          <w:numId w:val="2"/>
        </w:numPr>
        <w:spacing w:after="80"/>
      </w:pPr>
      <w:r>
        <w:rPr>
          <w:rFonts w:ascii="Arial" w:cs="Arial" w:eastAsia="Arial" w:hAnsi="Arial"/>
          <w:sz w:val="22"/>
          <w:szCs w:val="22"/>
        </w:rPr>
        <w:t xml:space="preserve">Introduction of new systems or processes that affect information security</w:t>
      </w:r>
    </w:p>
    <w:p>
      <w:pPr>
        <w:pStyle w:val="ListParagraph"/>
        <w:numPr>
          <w:ilvl w:val="0"/>
          <w:numId w:val="2"/>
        </w:numPr>
        <w:spacing w:after="80"/>
      </w:pPr>
      <w:r>
        <w:rPr>
          <w:rFonts w:ascii="Arial" w:cs="Arial" w:eastAsia="Arial" w:hAnsi="Arial"/>
          <w:sz w:val="22"/>
          <w:szCs w:val="22"/>
        </w:rPr>
        <w:t xml:space="preserve">Findings from internal or external audit</w:t>
      </w:r>
    </w:p>
    <w:p>
      <w:pPr>
        <w:pStyle w:val="ListParagraph"/>
        <w:numPr>
          <w:ilvl w:val="0"/>
          <w:numId w:val="2"/>
        </w:numPr>
        <w:spacing w:after="80"/>
      </w:pPr>
      <w:r>
        <w:rPr>
          <w:rFonts w:ascii="Arial" w:cs="Arial" w:eastAsia="Arial" w:hAnsi="Arial"/>
          <w:sz w:val="22"/>
          <w:szCs w:val="22"/>
        </w:rPr>
        <w:t xml:space="preserve">Information security incidents that suggest a segregation weakness</w:t>
      </w:r>
    </w:p>
    <w:p>
      <w:pPr>
        <w:pStyle w:val="ListParagraph"/>
        <w:numPr>
          <w:ilvl w:val="0"/>
          <w:numId w:val="2"/>
        </w:numPr>
        <w:spacing w:after="80"/>
      </w:pPr>
      <w:r>
        <w:rPr>
          <w:rFonts w:ascii="Arial" w:cs="Arial" w:eastAsia="Arial" w:hAnsi="Arial"/>
          <w:sz w:val="22"/>
          <w:szCs w:val="22"/>
        </w:rPr>
        <w:t xml:space="preserve">Changes to the ISO 27001 standard or other applicable regulation</w:t>
      </w:r>
    </w:p>
    <w:p>
      <w:pPr>
        <w:spacing w:after="240"/>
      </w:pPr>
      <w:r>
        <w:rPr>
          <w:rFonts w:ascii="Arial" w:cs="Arial" w:eastAsia="Arial" w:hAnsi="Arial"/>
          <w:sz w:val="22"/>
          <w:szCs w:val="22"/>
        </w:rPr>
        <w:t xml:space="preserve">Outcomes of each review are recorded in the version history at the front of this document.</w:t>
      </w:r>
    </w:p>
    <w:p>
      <w:pPr>
        <w:pStyle w:val="Heading1"/>
        <w:spacing w:after="120" w:before="240"/>
      </w:pPr>
      <w:r>
        <w:rPr>
          <w:rFonts w:ascii="Arial" w:cs="Arial" w:eastAsia="Arial" w:hAnsi="Arial"/>
          <w:b/>
          <w:bCs/>
          <w:color w:val="1F4E79"/>
        </w:rPr>
        <w:t xml:space="preserve">8. Approval</w:t>
      </w:r>
    </w:p>
    <w:p>
      <w:pPr>
        <w:spacing w:after="120"/>
      </w:pPr>
      <w:r>
        <w:rPr>
          <w:rFonts w:ascii="Arial" w:cs="Arial" w:eastAsia="Arial" w:hAnsi="Arial"/>
          <w:sz w:val="22"/>
          <w:szCs w:val="22"/>
        </w:rPr>
        <w:t xml:space="preserve">This document is approved by the following individuals on behalf of [Organisation Name]: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400"/>
        <w:gridCol w:w="2160"/>
      </w:tblGrid>
      <w:tr>
        <w:trPr>
          <w:tblHeader/>
        </w:trPr>
        <w:tc>
          <w:tcPr>
            <w:tcW w:type="dxa" w:w="24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Name</w:t>
            </w:r>
          </w:p>
        </w:tc>
        <w:tc>
          <w:tcPr>
            <w:tcW w:type="dxa" w:w="24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Role</w:t>
            </w:r>
          </w:p>
        </w:tc>
        <w:tc>
          <w:tcPr>
            <w:tcW w:type="dxa" w:w="24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Signature</w:t>
            </w:r>
          </w:p>
        </w:tc>
        <w:tc>
          <w:tcPr>
            <w:tcW w:type="dxa" w:w="216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Date</w:t>
            </w:r>
          </w:p>
        </w:tc>
      </w:tr>
      <w:tr>
        <w:tc>
          <w:tcPr>
            <w:tcW w:type="dxa" w:w="24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[Name]</w:t>
            </w:r>
          </w:p>
        </w:tc>
        <w:tc>
          <w:tcPr>
            <w:tcW w:type="dxa" w:w="24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[Role]</w:t>
            </w:r>
          </w:p>
        </w:tc>
        <w:tc>
          <w:tcPr>
            <w:tcW w:type="dxa" w:w="24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c>
          <w:tcPr>
            <w:tcW w:type="dxa" w:w="2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r>
      <w:tr>
        <w:tc>
          <w:tcPr>
            <w:tcW w:type="dxa" w:w="24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c>
          <w:tcPr>
            <w:tcW w:type="dxa" w:w="24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c>
          <w:tcPr>
            <w:tcW w:type="dxa" w:w="24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c>
          <w:tcPr>
            <w:tcW w:type="dxa" w:w="2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r>
    </w:tbl>
    <w:p>
      <w:pPr>
        <w:spacing w:after="120" w:before="240"/>
      </w:pPr>
      <w:r>
        <w:t xml:space="preserve"/>
      </w:r>
    </w:p>
    <w:p>
      <w:pPr>
        <w:pStyle w:val="Heading1"/>
        <w:spacing w:after="120" w:before="240"/>
      </w:pPr>
      <w:r>
        <w:rPr>
          <w:rFonts w:ascii="Arial" w:cs="Arial" w:eastAsia="Arial" w:hAnsi="Arial"/>
          <w:b/>
          <w:bCs/>
          <w:color w:val="1F4E79"/>
        </w:rPr>
        <w:t xml:space="preserve">9. Version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2400"/>
        <w:gridCol w:w="4160"/>
      </w:tblGrid>
      <w:tr>
        <w:trPr>
          <w:tblHeader/>
        </w:trPr>
        <w:tc>
          <w:tcPr>
            <w:tcW w:type="dxa" w:w="12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Version</w:t>
            </w:r>
          </w:p>
        </w:tc>
        <w:tc>
          <w:tcPr>
            <w:tcW w:type="dxa" w:w="16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Date</w:t>
            </w:r>
          </w:p>
        </w:tc>
        <w:tc>
          <w:tcPr>
            <w:tcW w:type="dxa" w:w="240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Author</w:t>
            </w:r>
          </w:p>
        </w:tc>
        <w:tc>
          <w:tcPr>
            <w:tcW w:type="dxa" w:w="4160"/>
            <w:tcBorders>
              <w:top w:val="single" w:color="BFBFBF" w:sz="4"/>
              <w:left w:val="single" w:color="BFBFBF" w:sz="4"/>
              <w:bottom w:val="single" w:color="BFBFBF" w:sz="4"/>
              <w:right w:val="single" w:color="BFBFBF" w:sz="4"/>
            </w:tcBorders>
            <w:shd w:fill="1F4E79" w:val="clear"/>
            <w:tcMar>
              <w:top w:type="dxa" w:w="100"/>
              <w:left w:type="dxa" w:w="140"/>
              <w:bottom w:type="dxa" w:w="100"/>
              <w:right w:type="dxa" w:w="140"/>
            </w:tcMar>
          </w:tcPr>
          <w:p>
            <w:pPr>
              <w:spacing w:after="60"/>
            </w:pPr>
            <w:r>
              <w:rPr>
                <w:rFonts w:ascii="Arial" w:cs="Arial" w:eastAsia="Arial" w:hAnsi="Arial"/>
                <w:b/>
                <w:bCs/>
                <w:color w:val="FFFFFF"/>
                <w:sz w:val="20"/>
                <w:szCs w:val="20"/>
              </w:rPr>
              <w:t xml:space="preserve">Summary of Changes</w:t>
            </w:r>
          </w:p>
        </w:tc>
      </w:tr>
      <w:tr>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1.0</w:t>
            </w:r>
          </w:p>
        </w:tc>
        <w:tc>
          <w:tcPr>
            <w:tcW w:type="dxa" w:w="16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[Date]</w:t>
            </w:r>
          </w:p>
        </w:tc>
        <w:tc>
          <w:tcPr>
            <w:tcW w:type="dxa" w:w="24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i/>
                <w:iCs/>
                <w:color w:val="595959"/>
                <w:sz w:val="20"/>
                <w:szCs w:val="20"/>
              </w:rPr>
              <w:t xml:space="preserve">[Name]</w:t>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Initial version</w:t>
            </w:r>
          </w:p>
        </w:tc>
      </w:tr>
      <w:tr>
        <w:tc>
          <w:tcPr>
            <w:tcW w:type="dxa" w:w="1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c>
          <w:tcPr>
            <w:tcW w:type="dxa" w:w="16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c>
          <w:tcPr>
            <w:tcW w:type="dxa" w:w="24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60"/>
            </w:pPr>
            <w:r>
              <w:rPr>
                <w:rFonts w:ascii="Arial" w:cs="Arial" w:eastAsia="Arial" w:hAnsi="Arial"/>
                <w:sz w:val="20"/>
                <w:szCs w:val="20"/>
              </w:rPr>
              <w:t xml:space="preserve"/>
            </w:r>
          </w:p>
        </w:tc>
      </w:tr>
    </w:tbl>
    <w:p>
      <w:pPr>
        <w:spacing w:before="480"/>
        <w:jc w:val="center"/>
      </w:pPr>
      <w:r>
        <w:rPr>
          <w:rFonts w:ascii="Arial" w:cs="Arial" w:eastAsia="Arial" w:hAnsi="Arial"/>
          <w:i/>
          <w:iCs/>
          <w:color w:val="595959"/>
          <w:sz w:val="20"/>
          <w:szCs w:val="20"/>
        </w:rPr>
        <w:t xml:space="preserve">— End of Document —</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95959"/>
        <w:sz w:val="18"/>
        <w:szCs w:val="18"/>
      </w:rPr>
      <w:t xml:space="preserve">Page </w:t>
    </w:r>
    <w:r>
      <w:rPr>
        <w:rFonts w:ascii="Arial" w:cs="Arial" w:eastAsia="Arial" w:hAnsi="Arial"/>
        <w:color w:val="595959"/>
        <w:sz w:val="18"/>
        <w:szCs w:val="18"/>
      </w:rPr>
      <w:fldChar w:fldCharType="begin"/>
      <w:instrText xml:space="preserve">PAGE</w:instrText>
      <w:fldChar w:fldCharType="separate"/>
      <w:fldChar w:fldCharType="end"/>
    </w:r>
    <w:r>
      <w:rPr>
        <w:rFonts w:ascii="Arial" w:cs="Arial" w:eastAsia="Arial" w:hAnsi="Arial"/>
        <w:color w:val="595959"/>
        <w:sz w:val="18"/>
        <w:szCs w:val="18"/>
      </w:rPr>
      <w:t xml:space="preserve"> of </w:t>
    </w:r>
    <w:r>
      <w:rPr>
        <w:rFonts w:ascii="Arial" w:cs="Arial" w:eastAsia="Arial" w:hAnsi="Arial"/>
        <w:color w:val="59595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595959"/>
        <w:sz w:val="18"/>
        <w:szCs w:val="18"/>
      </w:rPr>
      <w:t xml:space="preserve">Segregation of Duties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595959"/>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Segregation of Duties Analysis Template</dc:title>
  <dc:creator>Iseo Blue Limited</dc:creator>
  <cp:lastModifiedBy>Un-named</cp:lastModifiedBy>
  <cp:revision>1</cp:revision>
  <dcterms:created xsi:type="dcterms:W3CDTF">2026-05-09T22:28:38.543Z</dcterms:created>
  <dcterms:modified xsi:type="dcterms:W3CDTF">2026-05-09T22:28:38.560Z</dcterms:modified>
</cp:coreProperties>
</file>

<file path=docProps/custom.xml><?xml version="1.0" encoding="utf-8"?>
<Properties xmlns="http://schemas.openxmlformats.org/officeDocument/2006/custom-properties" xmlns:vt="http://schemas.openxmlformats.org/officeDocument/2006/docPropsVTypes"/>
</file>